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AC" w:rsidRPr="006F73AC" w:rsidRDefault="006F73AC" w:rsidP="006F73AC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6F73AC">
        <w:rPr>
          <w:rFonts w:ascii="Times New Roman" w:hAnsi="Times New Roman" w:cs="Times New Roman"/>
          <w:b/>
          <w:bCs/>
          <w:kern w:val="2"/>
        </w:rPr>
        <w:t>Протокол № 341/24</w:t>
      </w:r>
    </w:p>
    <w:p w:rsidR="00062D7B" w:rsidRDefault="006F73AC" w:rsidP="006F73AC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6F73AC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6F73AC">
        <w:rPr>
          <w:rFonts w:ascii="Times New Roman" w:hAnsi="Times New Roman" w:cs="Times New Roman"/>
          <w:b/>
          <w:bCs/>
          <w:kern w:val="2"/>
        </w:rPr>
        <w:br/>
        <w:t>№ 3293671</w:t>
      </w:r>
      <w:r w:rsidRPr="006F73AC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6F73AC" w:rsidRPr="006F73AC" w:rsidRDefault="006F73AC" w:rsidP="006F73AC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062D7B" w:rsidRPr="006F73AC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62D7B" w:rsidRDefault="006F73AC" w:rsidP="006F73AC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6F73AC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 Иркутская область, г. Братск, жилой район Центральный, ул. </w:t>
            </w:r>
            <w:r w:rsidRPr="006F73AC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 д. 45</w:t>
            </w:r>
          </w:p>
          <w:p w:rsidR="006F73AC" w:rsidRPr="006F73AC" w:rsidRDefault="006F73AC" w:rsidP="006F73AC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062D7B" w:rsidRPr="006F73AC" w:rsidRDefault="006F73AC" w:rsidP="00294C59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Дата публикации: 1</w:t>
            </w:r>
            <w:r w:rsidR="00294C59">
              <w:rPr>
                <w:rFonts w:ascii="Times New Roman" w:hAnsi="Times New Roman" w:cs="Times New Roman"/>
              </w:rPr>
              <w:t>1</w:t>
            </w:r>
            <w:r w:rsidRPr="006F73AC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062D7B" w:rsidRPr="006F73AC" w:rsidRDefault="006F73AC" w:rsidP="006F73AC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Заказчи</w:t>
      </w:r>
      <w:proofErr w:type="gramStart"/>
      <w:r w:rsidRPr="006F73AC">
        <w:rPr>
          <w:rFonts w:ascii="Times New Roman" w:hAnsi="Times New Roman" w:cs="Times New Roman"/>
        </w:rPr>
        <w:t>к(</w:t>
      </w:r>
      <w:proofErr w:type="gramEnd"/>
      <w:r w:rsidRPr="006F73AC">
        <w:rPr>
          <w:rFonts w:ascii="Times New Roman" w:hAnsi="Times New Roman" w:cs="Times New Roman"/>
        </w:rPr>
        <w:t>и), заключающие договор</w:t>
      </w:r>
      <w:r w:rsidRPr="006F73AC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062D7B" w:rsidRPr="006F73A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62D7B" w:rsidRPr="006F73AC" w:rsidRDefault="006F73AC" w:rsidP="006F73AC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Контактное лицо:</w:t>
      </w:r>
      <w:r w:rsidRPr="006F73AC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6F73AC">
        <w:rPr>
          <w:rFonts w:ascii="Times New Roman" w:hAnsi="Times New Roman" w:cs="Times New Roman"/>
        </w:rPr>
        <w:t>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6F73AC">
        <w:rPr>
          <w:rFonts w:ascii="Times New Roman" w:hAnsi="Times New Roman" w:cs="Times New Roman"/>
        </w:rPr>
        <w:t xml:space="preserve">Наименование закупки: </w:t>
      </w:r>
      <w:r w:rsidRPr="006F73AC">
        <w:rPr>
          <w:rFonts w:ascii="Times New Roman" w:hAnsi="Times New Roman" w:cs="Times New Roman"/>
          <w:b/>
        </w:rPr>
        <w:t>Оказание услуг по технической поддержке программного обеспечения «АльфаЦЕНТР» версии AC_UE</w:t>
      </w:r>
      <w:r w:rsidRPr="006F73AC">
        <w:rPr>
          <w:rFonts w:ascii="Times New Roman" w:hAnsi="Times New Roman" w:cs="Times New Roman"/>
          <w:b/>
          <w:lang w:eastAsia="zh-CN" w:bidi="hi-IN"/>
        </w:rPr>
        <w:t>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 xml:space="preserve">Номер </w:t>
      </w:r>
      <w:r>
        <w:rPr>
          <w:rFonts w:ascii="Times New Roman" w:hAnsi="Times New Roman" w:cs="Times New Roman"/>
        </w:rPr>
        <w:t>извещение в ЕИС</w:t>
      </w:r>
      <w:r w:rsidRPr="006F73AC">
        <w:rPr>
          <w:rFonts w:ascii="Times New Roman" w:hAnsi="Times New Roman" w:cs="Times New Roman"/>
        </w:rPr>
        <w:t>: 32414272546</w:t>
      </w:r>
      <w:r w:rsidRPr="006F73AC">
        <w:rPr>
          <w:rFonts w:ascii="Times New Roman" w:hAnsi="Times New Roman" w:cs="Times New Roman"/>
          <w:lang w:eastAsia="zh-CN" w:bidi="hi-IN"/>
        </w:rPr>
        <w:t>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  <w:lang w:eastAsia="zh-CN" w:bidi="hi-IN"/>
        </w:rPr>
        <w:t>Наименование предмета договора: Оказание услуг по технической поддержке программного обеспечения «АльфаЦЕНТР» версии AC_UE.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 xml:space="preserve">Сведения о сроке исполнения договора: : В течение 7 (семи) рабочих дней после подписания Договора Исполнитель открывает доступ к обновлениям на </w:t>
      </w:r>
      <w:proofErr w:type="gramStart"/>
      <w:r w:rsidRPr="006F73AC">
        <w:rPr>
          <w:rFonts w:ascii="Times New Roman" w:hAnsi="Times New Roman" w:cs="Times New Roman"/>
        </w:rPr>
        <w:t>Интернет-портале</w:t>
      </w:r>
      <w:proofErr w:type="gramEnd"/>
      <w:r w:rsidRPr="006F73AC">
        <w:rPr>
          <w:rFonts w:ascii="Times New Roman" w:hAnsi="Times New Roman" w:cs="Times New Roman"/>
        </w:rPr>
        <w:t xml:space="preserve"> и размещает на нем коды активации технической поддержки для Заказчика. Услуги технической поддержки программного обеспечения «АльфаЦЕНТР» оказываются на протяжении одного года (12 месяцев) с даты размещения кодов активации технической поддержки экземпляра ПО «АльфаЦЕНТР» на </w:t>
      </w:r>
      <w:proofErr w:type="gramStart"/>
      <w:r w:rsidRPr="006F73AC">
        <w:rPr>
          <w:rFonts w:ascii="Times New Roman" w:hAnsi="Times New Roman" w:cs="Times New Roman"/>
        </w:rPr>
        <w:t>Интернет-портале</w:t>
      </w:r>
      <w:proofErr w:type="gramEnd"/>
      <w:r w:rsidRPr="006F73AC">
        <w:rPr>
          <w:rFonts w:ascii="Times New Roman" w:hAnsi="Times New Roman" w:cs="Times New Roman"/>
        </w:rPr>
        <w:t>..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Дата начала подачи заявок: 02.12.2024.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Дата и время окончания подачи заявок: 10.12.2024 03:07 (МСК).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Место подведения итогов:</w:t>
      </w:r>
      <w:r w:rsidRPr="006F73AC">
        <w:rPr>
          <w:rFonts w:ascii="Times New Roman" w:hAnsi="Times New Roman" w:cs="Times New Roman"/>
          <w:lang w:eastAsia="zh-CN" w:bidi="hi-IN"/>
        </w:rPr>
        <w:t xml:space="preserve"> 665710, Иркутская область, г. Братск, жилой район Центральный, ул. Дружбы, д. 45.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062D7B" w:rsidRPr="006F73AC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062D7B" w:rsidRPr="006F73A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6F73AC">
              <w:rPr>
                <w:rFonts w:ascii="Times New Roman" w:hAnsi="Times New Roman" w:cs="Times New Roman"/>
              </w:rPr>
              <w:t>62.09.20.190 Услуги по технической поддержке в области информационных технологий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6F73AC">
              <w:rPr>
                <w:rFonts w:ascii="Times New Roman" w:hAnsi="Times New Roman" w:cs="Times New Roman"/>
              </w:rPr>
              <w:t>62.09 Деятельность, связанная с использованием вычислительной техники и информационных технологий, прочая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6F73AC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6F73AC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6F73AC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6F73AC">
        <w:rPr>
          <w:rFonts w:ascii="Times New Roman" w:hAnsi="Times New Roman" w:cs="Times New Roman"/>
          <w:b/>
        </w:rPr>
        <w:t>128 040,00 (Российский рубль), с НДС</w:t>
      </w:r>
    </w:p>
    <w:p w:rsidR="00062D7B" w:rsidRPr="006F73AC" w:rsidRDefault="006F73AC" w:rsidP="006F73AC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6F73AC">
        <w:rPr>
          <w:rFonts w:ascii="Times New Roman" w:hAnsi="Times New Roman" w:cs="Times New Roman"/>
          <w:lang w:eastAsia="zh-CN" w:bidi="hi-IN"/>
        </w:rPr>
        <w:t>Состав комиссии.</w:t>
      </w:r>
      <w:r w:rsidRPr="006F73AC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062D7B" w:rsidRPr="006F73AC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062D7B" w:rsidRPr="006F73A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62D7B" w:rsidRPr="006F73A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062D7B" w:rsidRPr="006F73A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62D7B" w:rsidRPr="006F73A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62D7B" w:rsidRPr="006F73A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62D7B" w:rsidRPr="006F73A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62D7B" w:rsidRPr="006F73A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062D7B" w:rsidRPr="006F73AC" w:rsidRDefault="006F73AC" w:rsidP="006F73AC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6F73AC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6F73AC">
        <w:rPr>
          <w:rFonts w:ascii="Times New Roman" w:hAnsi="Times New Roman" w:cs="Times New Roman"/>
        </w:rPr>
        <w:t>а(</w:t>
      </w:r>
      <w:proofErr w:type="gramEnd"/>
      <w:r w:rsidRPr="006F73AC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6F73AC">
        <w:rPr>
          <w:rFonts w:ascii="Times New Roman" w:hAnsi="Times New Roman" w:cs="Times New Roman"/>
        </w:rPr>
        <w:t>и(</w:t>
      </w:r>
      <w:proofErr w:type="gramEnd"/>
      <w:r w:rsidRPr="006F73AC">
        <w:rPr>
          <w:rFonts w:ascii="Times New Roman" w:hAnsi="Times New Roman" w:cs="Times New Roman"/>
        </w:rPr>
        <w:t>ок):</w:t>
      </w:r>
    </w:p>
    <w:tbl>
      <w:tblPr>
        <w:tblW w:w="5466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2028"/>
        <w:gridCol w:w="3035"/>
        <w:gridCol w:w="1701"/>
        <w:gridCol w:w="2067"/>
      </w:tblGrid>
      <w:tr w:rsidR="00062D7B" w:rsidRPr="006F73AC" w:rsidTr="006F73AC">
        <w:trPr>
          <w:trHeight w:val="813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62D7B" w:rsidRPr="006F73AC" w:rsidRDefault="006F73AC" w:rsidP="006F73A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>
              <w:rPr>
                <w:rFonts w:ascii="Times New Roman" w:hAnsi="Times New Roman" w:cs="Times New Roman"/>
                <w:b/>
                <w:bCs/>
              </w:rPr>
              <w:t>регистрации участника</w:t>
            </w:r>
          </w:p>
        </w:tc>
      </w:tr>
      <w:tr w:rsidR="00062D7B" w:rsidRPr="006F73AC" w:rsidTr="006F73AC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F7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>06.12.2024 15:59 (МСК)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>ООО "ИСЭН"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 xml:space="preserve">126 360,00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62D7B" w:rsidRPr="006F73AC" w:rsidTr="006F73AC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F73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>09.12.2024 14:05 (МСК)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>ООО "ДИБИЭЙ"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 xml:space="preserve">128 040,00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D7B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6F73AC">
        <w:rPr>
          <w:rFonts w:ascii="Times New Roman" w:hAnsi="Times New Roman" w:cs="Times New Roman"/>
        </w:rPr>
        <w:br/>
      </w:r>
    </w:p>
    <w:tbl>
      <w:tblPr>
        <w:tblW w:w="5511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6"/>
        <w:gridCol w:w="2757"/>
        <w:gridCol w:w="2835"/>
        <w:gridCol w:w="1321"/>
        <w:gridCol w:w="1964"/>
      </w:tblGrid>
      <w:tr w:rsidR="006F73AC" w:rsidRPr="006F73AC" w:rsidTr="006F73AC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F73AC" w:rsidRPr="006F73AC" w:rsidRDefault="006F73AC" w:rsidP="006F73A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F73AC" w:rsidRPr="006F73AC" w:rsidRDefault="006F73AC" w:rsidP="006F73AC">
            <w:pPr>
              <w:spacing w:after="0"/>
              <w:ind w:right="-28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F73AC" w:rsidRDefault="006F73AC" w:rsidP="002149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6F73AC" w:rsidRPr="006F73AC" w:rsidRDefault="006F73AC" w:rsidP="002149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F73AC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F73AC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3AC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6F73AC" w:rsidRPr="006F73AC" w:rsidTr="006F73AC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6F73A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F7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F73AC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2149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>ООО "ИСЭН"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7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73AC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6F73AC" w:rsidRPr="006F73AC" w:rsidTr="006F73AC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6F73A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F73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F73AC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2149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73AC">
              <w:rPr>
                <w:rFonts w:ascii="Times New Roman" w:hAnsi="Times New Roman" w:cs="Times New Roman"/>
              </w:rPr>
              <w:t>ООО "ДИБИЭЙ"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73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C" w:rsidRPr="006F73AC" w:rsidRDefault="006F73AC" w:rsidP="006F73A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73AC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062D7B" w:rsidRPr="006F73AC" w:rsidRDefault="00062D7B" w:rsidP="006F73AC">
      <w:pPr>
        <w:tabs>
          <w:tab w:val="left" w:pos="-567"/>
        </w:tabs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062D7B" w:rsidRPr="006F73AC" w:rsidRDefault="006F73AC" w:rsidP="006F73A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F73AC">
        <w:rPr>
          <w:rFonts w:ascii="Times New Roman" w:hAnsi="Times New Roman" w:cs="Times New Roman"/>
        </w:rPr>
        <w:t>П</w:t>
      </w:r>
      <w:r w:rsidRPr="006F73AC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6F73AC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062D7B" w:rsidRPr="006F73AC">
        <w:tc>
          <w:tcPr>
            <w:tcW w:w="4110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062D7B" w:rsidRPr="006F73AC" w:rsidRDefault="00062D7B" w:rsidP="006F73A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62D7B" w:rsidRPr="006F73AC" w:rsidRDefault="006F73AC" w:rsidP="006F73A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062D7B" w:rsidRPr="006F73AC">
        <w:tc>
          <w:tcPr>
            <w:tcW w:w="4110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62D7B" w:rsidRPr="006F73AC" w:rsidRDefault="00062D7B" w:rsidP="006F73A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62D7B" w:rsidRPr="006F73AC" w:rsidRDefault="006F73AC" w:rsidP="006F73A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062D7B" w:rsidRPr="006F73AC">
        <w:tc>
          <w:tcPr>
            <w:tcW w:w="4110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62D7B" w:rsidRPr="006F73AC" w:rsidRDefault="00062D7B" w:rsidP="006F73A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62D7B" w:rsidRPr="006F73AC" w:rsidRDefault="006F73AC" w:rsidP="006F73A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062D7B" w:rsidRPr="006F73AC">
        <w:tc>
          <w:tcPr>
            <w:tcW w:w="4110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62D7B" w:rsidRPr="006F73AC" w:rsidRDefault="00062D7B" w:rsidP="006F73A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62D7B" w:rsidRPr="006F73AC" w:rsidRDefault="006F73AC" w:rsidP="006F73A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062D7B" w:rsidRPr="006F73AC">
        <w:tc>
          <w:tcPr>
            <w:tcW w:w="4110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62D7B" w:rsidRPr="006F73AC" w:rsidRDefault="00062D7B" w:rsidP="006F73A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62D7B" w:rsidRPr="006F73AC" w:rsidRDefault="006F73AC" w:rsidP="006F73A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062D7B" w:rsidRPr="006F73AC">
        <w:tc>
          <w:tcPr>
            <w:tcW w:w="4110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062D7B" w:rsidRPr="006F73AC" w:rsidRDefault="00062D7B" w:rsidP="006F73A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62D7B" w:rsidRPr="006F73AC" w:rsidRDefault="006F73AC" w:rsidP="006F73A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62D7B" w:rsidRPr="006F73AC" w:rsidRDefault="006F73AC" w:rsidP="006F73A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F73AC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062D7B" w:rsidRPr="006F73AC" w:rsidRDefault="00062D7B" w:rsidP="006F73AC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062D7B" w:rsidRPr="006F73AC" w:rsidSect="00062D7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869D1"/>
    <w:multiLevelType w:val="multilevel"/>
    <w:tmpl w:val="67DE1BA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BD0307"/>
    <w:multiLevelType w:val="multilevel"/>
    <w:tmpl w:val="0630B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062D7B"/>
    <w:rsid w:val="00045F82"/>
    <w:rsid w:val="00062D7B"/>
    <w:rsid w:val="00294C59"/>
    <w:rsid w:val="006F73AC"/>
    <w:rsid w:val="00B3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062D7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062D7B"/>
    <w:rPr>
      <w:rFonts w:cs="Arial"/>
    </w:rPr>
  </w:style>
  <w:style w:type="paragraph" w:customStyle="1" w:styleId="Caption">
    <w:name w:val="Caption"/>
    <w:basedOn w:val="a"/>
    <w:qFormat/>
    <w:rsid w:val="00062D7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062D7B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3</cp:revision>
  <dcterms:created xsi:type="dcterms:W3CDTF">2024-12-11T00:03:00Z</dcterms:created>
  <dcterms:modified xsi:type="dcterms:W3CDTF">2024-12-11T00:03:00Z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